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eastAsia" w:ascii="宋体" w:hAnsi="宋体" w:eastAsia="宋体" w:cs="宋体"/>
          <w:color w:val="auto"/>
          <w:lang w:val="en-US" w:eastAsia="zh-CN"/>
        </w:rPr>
      </w:pPr>
      <w:r>
        <w:rPr>
          <w:rFonts w:hint="eastAsia" w:ascii="宋体" w:hAnsi="宋体" w:eastAsia="宋体" w:cs="宋体"/>
          <w:b/>
          <w:bCs/>
          <w:color w:val="auto"/>
          <w:sz w:val="24"/>
          <w:highlight w:val="none"/>
          <w:lang w:val="en-US" w:eastAsia="zh-CN"/>
        </w:rPr>
        <w:t xml:space="preserve">附件1 </w:t>
      </w:r>
    </w:p>
    <w:tbl>
      <w:tblPr>
        <w:tblStyle w:val="4"/>
        <w:tblpPr w:leftFromText="180" w:rightFromText="180" w:vertAnchor="text" w:horzAnchor="page" w:tblpX="1575" w:tblpY="532"/>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259"/>
        <w:gridCol w:w="600"/>
        <w:gridCol w:w="1274"/>
        <w:gridCol w:w="4102"/>
        <w:gridCol w:w="835"/>
        <w:gridCol w:w="1186"/>
        <w:gridCol w:w="3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4" w:type="pct"/>
            <w:noWrap w:val="0"/>
            <w:vAlign w:val="center"/>
          </w:tcPr>
          <w:p>
            <w:pPr>
              <w:keepNext w:val="0"/>
              <w:keepLines w:val="0"/>
              <w:pageBreakBefore w:val="0"/>
              <w:widowControl w:val="0"/>
              <w:kinsoku/>
              <w:wordWrap/>
              <w:overflowPunct/>
              <w:topLinePunct w:val="0"/>
              <w:autoSpaceDE/>
              <w:bidi w:val="0"/>
              <w:adjustRightInd/>
              <w:snapToGrid/>
              <w:spacing w:line="36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项目编号</w:t>
            </w:r>
          </w:p>
        </w:tc>
        <w:tc>
          <w:tcPr>
            <w:tcW w:w="444" w:type="pct"/>
            <w:noWrap w:val="0"/>
            <w:vAlign w:val="center"/>
          </w:tcPr>
          <w:p>
            <w:pPr>
              <w:keepNext w:val="0"/>
              <w:keepLines w:val="0"/>
              <w:pageBreakBefore w:val="0"/>
              <w:widowControl w:val="0"/>
              <w:kinsoku/>
              <w:wordWrap/>
              <w:overflowPunct/>
              <w:topLinePunct w:val="0"/>
              <w:autoSpaceDE/>
              <w:bidi w:val="0"/>
              <w:adjustRightInd/>
              <w:snapToGrid/>
              <w:spacing w:line="360" w:lineRule="auto"/>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标名称</w:t>
            </w:r>
          </w:p>
        </w:tc>
        <w:tc>
          <w:tcPr>
            <w:tcW w:w="212" w:type="pct"/>
            <w:noWrap w:val="0"/>
            <w:vAlign w:val="center"/>
          </w:tcPr>
          <w:p>
            <w:pPr>
              <w:keepNext w:val="0"/>
              <w:keepLines w:val="0"/>
              <w:pageBreakBefore w:val="0"/>
              <w:widowControl w:val="0"/>
              <w:kinsoku/>
              <w:wordWrap/>
              <w:overflowPunct/>
              <w:topLinePunct w:val="0"/>
              <w:autoSpaceDE/>
              <w:bidi w:val="0"/>
              <w:adjustRightInd/>
              <w:snapToGrid/>
              <w:spacing w:line="36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包号</w:t>
            </w:r>
          </w:p>
        </w:tc>
        <w:tc>
          <w:tcPr>
            <w:tcW w:w="450" w:type="pct"/>
            <w:noWrap w:val="0"/>
            <w:vAlign w:val="center"/>
          </w:tcPr>
          <w:p>
            <w:pPr>
              <w:keepNext w:val="0"/>
              <w:keepLines w:val="0"/>
              <w:pageBreakBefore w:val="0"/>
              <w:widowControl w:val="0"/>
              <w:kinsoku/>
              <w:wordWrap/>
              <w:overflowPunct/>
              <w:topLinePunct w:val="0"/>
              <w:autoSpaceDE/>
              <w:bidi w:val="0"/>
              <w:adjustRightInd/>
              <w:snapToGrid/>
              <w:spacing w:line="360" w:lineRule="auto"/>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包名称</w:t>
            </w:r>
          </w:p>
        </w:tc>
        <w:tc>
          <w:tcPr>
            <w:tcW w:w="1448" w:type="pct"/>
            <w:noWrap w:val="0"/>
            <w:vAlign w:val="center"/>
          </w:tcPr>
          <w:p>
            <w:pPr>
              <w:keepNext w:val="0"/>
              <w:keepLines w:val="0"/>
              <w:pageBreakBefore w:val="0"/>
              <w:widowControl w:val="0"/>
              <w:kinsoku/>
              <w:wordWrap/>
              <w:overflowPunct/>
              <w:topLinePunct w:val="0"/>
              <w:autoSpaceDE/>
              <w:bidi w:val="0"/>
              <w:adjustRightInd/>
              <w:snapToGrid/>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采购内容</w:t>
            </w:r>
          </w:p>
        </w:tc>
        <w:tc>
          <w:tcPr>
            <w:tcW w:w="294" w:type="pct"/>
            <w:noWrap w:val="0"/>
            <w:vAlign w:val="center"/>
          </w:tcPr>
          <w:p>
            <w:pPr>
              <w:keepNext w:val="0"/>
              <w:keepLines w:val="0"/>
              <w:pageBreakBefore w:val="0"/>
              <w:widowControl w:val="0"/>
              <w:kinsoku/>
              <w:wordWrap/>
              <w:overflowPunct/>
              <w:topLinePunct w:val="0"/>
              <w:autoSpaceDE/>
              <w:bidi w:val="0"/>
              <w:adjustRightInd/>
              <w:snapToGrid/>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报价方式</w:t>
            </w:r>
          </w:p>
        </w:tc>
        <w:tc>
          <w:tcPr>
            <w:tcW w:w="418" w:type="pct"/>
            <w:noWrap w:val="0"/>
            <w:vAlign w:val="center"/>
          </w:tcPr>
          <w:p>
            <w:pPr>
              <w:keepNext w:val="0"/>
              <w:keepLines w:val="0"/>
              <w:pageBreakBefore w:val="0"/>
              <w:widowControl w:val="0"/>
              <w:kinsoku/>
              <w:wordWrap/>
              <w:overflowPunct/>
              <w:topLinePunct w:val="0"/>
              <w:autoSpaceDE/>
              <w:bidi w:val="0"/>
              <w:adjustRightInd/>
              <w:snapToGrid/>
              <w:spacing w:line="360" w:lineRule="auto"/>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color w:val="auto"/>
                <w:kern w:val="0"/>
                <w:sz w:val="24"/>
                <w:szCs w:val="24"/>
                <w:lang w:eastAsia="zh-CN"/>
              </w:rPr>
              <w:t>采购预算</w:t>
            </w:r>
          </w:p>
        </w:tc>
        <w:tc>
          <w:tcPr>
            <w:tcW w:w="1305" w:type="pct"/>
            <w:noWrap w:val="0"/>
            <w:vAlign w:val="center"/>
          </w:tcPr>
          <w:p>
            <w:pPr>
              <w:keepNext w:val="0"/>
              <w:keepLines w:val="0"/>
              <w:pageBreakBefore w:val="0"/>
              <w:widowControl w:val="0"/>
              <w:kinsoku/>
              <w:wordWrap/>
              <w:overflowPunct/>
              <w:topLinePunct w:val="0"/>
              <w:autoSpaceDE/>
              <w:bidi w:val="0"/>
              <w:adjustRightInd/>
              <w:snapToGrid/>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eastAsia="zh-CN"/>
              </w:rPr>
              <w:t>专用资质、业绩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424" w:type="pct"/>
            <w:noWrap w:val="0"/>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YZ-J-202208165</w:t>
            </w:r>
          </w:p>
        </w:tc>
        <w:tc>
          <w:tcPr>
            <w:tcW w:w="444" w:type="pct"/>
            <w:noWrap w:val="0"/>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线路塔材</w:t>
            </w:r>
          </w:p>
        </w:tc>
        <w:tc>
          <w:tcPr>
            <w:tcW w:w="212" w:type="pct"/>
            <w:noWrap w:val="0"/>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450" w:type="pct"/>
            <w:noWrap w:val="0"/>
            <w:vAlign w:val="center"/>
          </w:tcPr>
          <w:p>
            <w:pPr>
              <w:keepNext w:val="0"/>
              <w:keepLines w:val="0"/>
              <w:pageBreakBefore w:val="0"/>
              <w:widowControl w:val="0"/>
              <w:kinsoku/>
              <w:wordWrap/>
              <w:overflowPunct/>
              <w:topLinePunct w:val="0"/>
              <w:autoSpaceDE/>
              <w:autoSpaceDN w:val="0"/>
              <w:bidi w:val="0"/>
              <w:adjustRightInd/>
              <w:snapToGrid/>
              <w:spacing w:line="360" w:lineRule="auto"/>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线路塔材物资采购</w:t>
            </w:r>
          </w:p>
        </w:tc>
        <w:tc>
          <w:tcPr>
            <w:tcW w:w="1448" w:type="pct"/>
            <w:noWrap w:val="0"/>
            <w:vAlign w:val="center"/>
          </w:tcPr>
          <w:p>
            <w:pPr>
              <w:keepNext w:val="0"/>
              <w:keepLines w:val="0"/>
              <w:pageBreakBefore w:val="0"/>
              <w:widowControl w:val="0"/>
              <w:kinsoku/>
              <w:wordWrap/>
              <w:overflowPunct/>
              <w:topLinePunct w:val="0"/>
              <w:autoSpaceDE/>
              <w:autoSpaceDN w:val="0"/>
              <w:bidi w:val="0"/>
              <w:adjustRightInd/>
              <w:snapToGrid/>
              <w:spacing w:line="360" w:lineRule="auto"/>
              <w:ind w:left="0" w:leftChars="0" w:firstLine="0" w:firstLineChars="0"/>
              <w:jc w:val="center"/>
              <w:textAlignment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角钢塔</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Q355约</w:t>
            </w:r>
            <w:r>
              <w:rPr>
                <w:rFonts w:hint="eastAsia" w:ascii="宋体" w:hAnsi="宋体" w:eastAsia="宋体" w:cs="宋体"/>
                <w:color w:val="auto"/>
                <w:sz w:val="24"/>
                <w:szCs w:val="24"/>
                <w:lang w:val="en-US" w:eastAsia="zh-CN"/>
              </w:rPr>
              <w:t>240</w:t>
            </w:r>
            <w:r>
              <w:rPr>
                <w:rFonts w:hint="default" w:ascii="宋体" w:hAnsi="宋体" w:eastAsia="宋体" w:cs="宋体"/>
                <w:color w:val="auto"/>
                <w:sz w:val="24"/>
                <w:szCs w:val="24"/>
                <w:lang w:val="en-US" w:eastAsia="zh-CN"/>
              </w:rPr>
              <w:t>吨。</w:t>
            </w:r>
          </w:p>
        </w:tc>
        <w:tc>
          <w:tcPr>
            <w:tcW w:w="294" w:type="pct"/>
            <w:noWrap w:val="0"/>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总价报价</w:t>
            </w:r>
          </w:p>
        </w:tc>
        <w:tc>
          <w:tcPr>
            <w:tcW w:w="418" w:type="pct"/>
            <w:noWrap w:val="0"/>
            <w:vAlign w:val="center"/>
          </w:tcPr>
          <w:p>
            <w:pPr>
              <w:keepNext w:val="0"/>
              <w:keepLines w:val="0"/>
              <w:pageBreakBefore w:val="0"/>
              <w:widowControl w:val="0"/>
              <w:kinsoku/>
              <w:wordWrap/>
              <w:overflowPunct/>
              <w:topLinePunct w:val="0"/>
              <w:autoSpaceDE/>
              <w:autoSpaceDN w:val="0"/>
              <w:bidi w:val="0"/>
              <w:adjustRightInd/>
              <w:snapToGrid/>
              <w:spacing w:line="360"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以实际发生额为准</w:t>
            </w:r>
          </w:p>
        </w:tc>
        <w:tc>
          <w:tcPr>
            <w:tcW w:w="1305" w:type="pct"/>
            <w:noWrap w:val="0"/>
            <w:vAlign w:val="center"/>
          </w:tcPr>
          <w:p>
            <w:pPr>
              <w:keepNext w:val="0"/>
              <w:keepLines w:val="0"/>
              <w:pageBreakBefore w:val="0"/>
              <w:widowControl w:val="0"/>
              <w:kinsoku/>
              <w:wordWrap/>
              <w:overflowPunct/>
              <w:topLinePunct w:val="0"/>
              <w:autoSpaceDE/>
              <w:autoSpaceDN w:val="0"/>
              <w:bidi w:val="0"/>
              <w:adjustRightInd/>
              <w:snapToGrid/>
              <w:spacing w:line="360" w:lineRule="auto"/>
              <w:jc w:val="both"/>
              <w:textAlignment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1.须为一般纳税人，能够为采购单位开具专用增值税发票。</w:t>
            </w:r>
          </w:p>
          <w:p>
            <w:pPr>
              <w:keepNext w:val="0"/>
              <w:keepLines w:val="0"/>
              <w:pageBreakBefore w:val="0"/>
              <w:widowControl w:val="0"/>
              <w:kinsoku/>
              <w:wordWrap/>
              <w:overflowPunct/>
              <w:topLinePunct w:val="0"/>
              <w:autoSpaceDE/>
              <w:autoSpaceDN w:val="0"/>
              <w:bidi w:val="0"/>
              <w:adjustRightInd/>
              <w:snapToGrid/>
              <w:spacing w:line="360" w:lineRule="auto"/>
              <w:jc w:val="both"/>
              <w:textAlignment w:val="center"/>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2.供应商具有有效的工业产品生产许可证（产品名称至少包含铁塔）。</w:t>
            </w:r>
          </w:p>
          <w:p>
            <w:pPr>
              <w:keepNext w:val="0"/>
              <w:keepLines w:val="0"/>
              <w:pageBreakBefore w:val="0"/>
              <w:widowControl w:val="0"/>
              <w:kinsoku/>
              <w:wordWrap/>
              <w:overflowPunct/>
              <w:topLinePunct w:val="0"/>
              <w:autoSpaceDE/>
              <w:autoSpaceDN w:val="0"/>
              <w:bidi w:val="0"/>
              <w:adjustRightInd/>
              <w:snapToGrid/>
              <w:spacing w:line="360" w:lineRule="auto"/>
              <w:jc w:val="both"/>
              <w:textAlignment w:val="center"/>
              <w:rPr>
                <w:rFonts w:hint="eastAsia" w:ascii="宋体" w:hAnsi="宋体" w:eastAsia="宋体" w:cs="宋体"/>
                <w:color w:val="auto"/>
                <w:sz w:val="24"/>
                <w:szCs w:val="24"/>
                <w:lang w:val="en-US" w:eastAsia="zh-CN"/>
              </w:rPr>
            </w:pPr>
            <w:r>
              <w:rPr>
                <w:rFonts w:hint="eastAsia" w:ascii="宋体" w:hAnsi="宋体" w:cs="宋体"/>
                <w:color w:val="auto"/>
                <w:sz w:val="22"/>
                <w:szCs w:val="22"/>
                <w:lang w:val="en-US" w:eastAsia="zh-CN"/>
              </w:rPr>
              <w:t>3.须具备有效的ISO9000系列质量保证体系认证证书，供应商应提供所投产品的国家认可第三方权威检测机构的有效的型式试验报告。</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yOTVmNmM1YmI4MjIzYjdlODAyNWZhNzU4NjE1MGIifQ=="/>
  </w:docVars>
  <w:rsids>
    <w:rsidRoot w:val="68EE39E5"/>
    <w:rsid w:val="68EE3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正文文本首行缩进 21"/>
    <w:basedOn w:val="7"/>
    <w:qFormat/>
    <w:uiPriority w:val="0"/>
    <w:pPr>
      <w:ind w:firstLine="420" w:firstLineChars="200"/>
    </w:pPr>
  </w:style>
  <w:style w:type="paragraph" w:customStyle="1" w:styleId="7">
    <w:name w:val="正文文本缩进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2022-08-24T10:08:00Z</dcterms:created>
  <dc:creator>一抹清香</dc:creator>
  <cp:lastModifiedBy>一抹清香</cp:lastModifiedBy>
  <dcterms:modified xsi:type="dcterms:W3CDTF">2022-08-24T10:08:31Z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4211F29C16DB432B8223BF443912285D</vt:lpwstr>
  </property>
</Properties>
</file>