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附件1 </w:t>
      </w:r>
      <w:bookmarkStart w:id="0" w:name="_GoBack"/>
      <w:bookmarkEnd w:id="0"/>
    </w:p>
    <w:tbl>
      <w:tblPr>
        <w:tblStyle w:val="10"/>
        <w:tblpPr w:leftFromText="180" w:rightFromText="180" w:vertAnchor="text" w:horzAnchor="page" w:tblpX="1575" w:tblpY="532"/>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65"/>
        <w:gridCol w:w="792"/>
        <w:gridCol w:w="2447"/>
        <w:gridCol w:w="3094"/>
        <w:gridCol w:w="893"/>
        <w:gridCol w:w="1229"/>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75"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项目编号</w:t>
            </w:r>
          </w:p>
        </w:tc>
        <w:tc>
          <w:tcPr>
            <w:tcW w:w="305" w:type="pct"/>
            <w:noWrap w:val="0"/>
            <w:vAlign w:val="center"/>
          </w:tcPr>
          <w:p>
            <w:pPr>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标名称</w:t>
            </w:r>
          </w:p>
        </w:tc>
        <w:tc>
          <w:tcPr>
            <w:tcW w:w="279"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包号</w:t>
            </w:r>
          </w:p>
        </w:tc>
        <w:tc>
          <w:tcPr>
            <w:tcW w:w="864"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包名称</w:t>
            </w:r>
          </w:p>
        </w:tc>
        <w:tc>
          <w:tcPr>
            <w:tcW w:w="1092"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采购内容</w:t>
            </w:r>
          </w:p>
        </w:tc>
        <w:tc>
          <w:tcPr>
            <w:tcW w:w="315"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报价方式</w:t>
            </w:r>
          </w:p>
        </w:tc>
        <w:tc>
          <w:tcPr>
            <w:tcW w:w="434" w:type="pct"/>
            <w:noWrap w:val="0"/>
            <w:vAlign w:val="center"/>
          </w:tcPr>
          <w:p>
            <w:pPr>
              <w:spacing w:line="360" w:lineRule="auto"/>
              <w:jc w:val="center"/>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采购预算（万元）</w:t>
            </w:r>
          </w:p>
        </w:tc>
        <w:tc>
          <w:tcPr>
            <w:tcW w:w="1332"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专用资质、业绩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75" w:type="pct"/>
            <w:vMerge w:val="restar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YZ-J-202207139</w:t>
            </w:r>
          </w:p>
        </w:tc>
        <w:tc>
          <w:tcPr>
            <w:tcW w:w="305" w:type="pct"/>
            <w:vMerge w:val="restart"/>
            <w:noWrap w:val="0"/>
            <w:vAlign w:val="center"/>
          </w:tcPr>
          <w:p>
            <w:pPr>
              <w:autoSpaceDN w:val="0"/>
              <w:jc w:val="center"/>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综合服务</w:t>
            </w: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864" w:type="pct"/>
            <w:noWrap w:val="0"/>
            <w:vAlign w:val="center"/>
          </w:tcPr>
          <w:p>
            <w:pPr>
              <w:autoSpaceDN w:val="0"/>
              <w:jc w:val="both"/>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国网河南济源供电公司10千伏玉川南线、横岭线等10条配电线路运行环境综合大修技术服务项目</w:t>
            </w:r>
          </w:p>
        </w:tc>
        <w:tc>
          <w:tcPr>
            <w:tcW w:w="1092" w:type="pct"/>
            <w:noWrap w:val="0"/>
            <w:vAlign w:val="center"/>
          </w:tcPr>
          <w:p>
            <w:pPr>
              <w:pStyle w:val="7"/>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对国网河南济源供电公司10千伏玉川南线、横岭线等10条配电线路中的线路定值核查、线路设备调试维护、在线率分析等维护工作提供技术服务</w:t>
            </w:r>
          </w:p>
        </w:tc>
        <w:tc>
          <w:tcPr>
            <w:tcW w:w="315" w:type="pct"/>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总价报价</w:t>
            </w:r>
          </w:p>
        </w:tc>
        <w:tc>
          <w:tcPr>
            <w:tcW w:w="434" w:type="pct"/>
            <w:noWrap w:val="0"/>
            <w:vAlign w:val="center"/>
          </w:tcPr>
          <w:p>
            <w:pPr>
              <w:autoSpaceDN w:val="0"/>
              <w:jc w:val="center"/>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66</w:t>
            </w:r>
          </w:p>
        </w:tc>
        <w:tc>
          <w:tcPr>
            <w:tcW w:w="1332" w:type="pct"/>
            <w:noWrap w:val="0"/>
            <w:vAlign w:val="center"/>
          </w:tcPr>
          <w:p>
            <w:pPr>
              <w:autoSpaceDN w:val="0"/>
              <w:jc w:val="both"/>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供应商须具有近五年内至少3个同类运维业绩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7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30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w:t>
            </w:r>
          </w:p>
        </w:tc>
        <w:tc>
          <w:tcPr>
            <w:tcW w:w="864" w:type="pct"/>
            <w:noWrap w:val="0"/>
            <w:vAlign w:val="center"/>
          </w:tcPr>
          <w:p>
            <w:pPr>
              <w:autoSpaceDN w:val="0"/>
              <w:jc w:val="both"/>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国电新能源大岭三期50兆瓦风电场110千伏送出线路工程穿越河南省济源南山省级森林公园影响专题报告咨询服务项目</w:t>
            </w:r>
          </w:p>
        </w:tc>
        <w:tc>
          <w:tcPr>
            <w:tcW w:w="1092" w:type="pct"/>
            <w:noWrap w:val="0"/>
            <w:vAlign w:val="center"/>
          </w:tcPr>
          <w:p>
            <w:pPr>
              <w:pStyle w:val="7"/>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完成国电新能源大岭三期50兆瓦风电场110千伏送出线路工程穿越河南省济源南山省级森林公园影响专题报告，并获得项目施工批复</w:t>
            </w:r>
          </w:p>
        </w:tc>
        <w:tc>
          <w:tcPr>
            <w:tcW w:w="315" w:type="pct"/>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总价报价</w:t>
            </w:r>
          </w:p>
        </w:tc>
        <w:tc>
          <w:tcPr>
            <w:tcW w:w="434" w:type="pct"/>
            <w:noWrap w:val="0"/>
            <w:vAlign w:val="center"/>
          </w:tcPr>
          <w:p>
            <w:pPr>
              <w:autoSpaceDN w:val="0"/>
              <w:jc w:val="center"/>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31</w:t>
            </w:r>
          </w:p>
        </w:tc>
        <w:tc>
          <w:tcPr>
            <w:tcW w:w="1332" w:type="pct"/>
            <w:noWrap w:val="0"/>
            <w:vAlign w:val="center"/>
          </w:tcPr>
          <w:p>
            <w:pPr>
              <w:autoSpaceDN w:val="0"/>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供应商须提供近三年内至少一份办理林业咨询服务相关业绩</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OTVmNmM1YmI4MjIzYjdlODAyNWZhNzU4NjE1MGIifQ=="/>
  </w:docVars>
  <w:rsids>
    <w:rsidRoot w:val="17270724"/>
    <w:rsid w:val="1727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line="400" w:lineRule="exact"/>
      <w:ind w:firstLine="866" w:firstLineChars="196"/>
      <w:jc w:val="center"/>
      <w:outlineLvl w:val="1"/>
    </w:pPr>
    <w:rPr>
      <w:rFonts w:ascii="仿宋_GB2312" w:hAnsi="仿宋" w:eastAsia="仿宋_GB2312"/>
      <w:b/>
      <w:bCs/>
      <w:sz w:val="44"/>
      <w:szCs w:val="4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tabs>
        <w:tab w:val="left" w:pos="606"/>
      </w:tabs>
    </w:pPr>
    <w:rPr>
      <w:rFonts w:ascii="方正仿宋简体" w:eastAsia="方正仿宋简体"/>
      <w:sz w:val="32"/>
    </w:rPr>
  </w:style>
  <w:style w:type="paragraph" w:styleId="4">
    <w:name w:val="Body Text 2"/>
    <w:basedOn w:val="1"/>
    <w:qFormat/>
    <w:uiPriority w:val="0"/>
    <w:pPr>
      <w:widowControl/>
      <w:overflowPunct w:val="0"/>
      <w:autoSpaceDE w:val="0"/>
      <w:autoSpaceDN w:val="0"/>
      <w:adjustRightInd w:val="0"/>
      <w:jc w:val="left"/>
      <w:textAlignment w:val="baseline"/>
    </w:pPr>
  </w:style>
  <w:style w:type="paragraph" w:styleId="5">
    <w:name w:val="Body Text Indent"/>
    <w:basedOn w:val="1"/>
    <w:qFormat/>
    <w:uiPriority w:val="0"/>
    <w:pPr>
      <w:spacing w:after="120" w:afterLines="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w:basedOn w:val="3"/>
    <w:next w:val="8"/>
    <w:qFormat/>
    <w:uiPriority w:val="0"/>
    <w:pPr>
      <w:spacing w:after="120" w:afterLines="0"/>
      <w:ind w:firstLine="420" w:firstLineChars="100"/>
    </w:pPr>
    <w:rPr>
      <w:rFonts w:ascii="Times New Roman" w:eastAsia="宋体"/>
      <w:sz w:val="21"/>
    </w:rPr>
  </w:style>
  <w:style w:type="paragraph" w:styleId="8">
    <w:name w:val="Body Text First Indent 2"/>
    <w:basedOn w:val="5"/>
    <w:next w:val="9"/>
    <w:unhideWhenUsed/>
    <w:qFormat/>
    <w:uiPriority w:val="99"/>
    <w:pPr>
      <w:spacing w:after="120" w:line="240" w:lineRule="auto"/>
      <w:ind w:left="420" w:leftChars="200" w:firstLine="420" w:firstLineChars="200"/>
    </w:pPr>
  </w:style>
  <w:style w:type="paragraph" w:customStyle="1" w:styleId="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12">
    <w:name w:val="正文文本首行缩进 21"/>
    <w:basedOn w:val="13"/>
    <w:qFormat/>
    <w:uiPriority w:val="0"/>
    <w:pPr>
      <w:ind w:firstLine="420" w:firstLineChars="200"/>
    </w:pPr>
  </w:style>
  <w:style w:type="paragraph" w:customStyle="1" w:styleId="13">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2022-07-21T03:50:00Z</dcterms:created>
  <dc:creator>一抹清香</dc:creator>
  <cp:lastModifiedBy>一抹清香</cp:lastModifiedBy>
  <dcterms:modified xsi:type="dcterms:W3CDTF">2022-07-21T03:50:34Z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5ABE221B04354A2AB339C8DD0296AEE3</vt:lpwstr>
  </property>
</Properties>
</file>