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479"/>
        <w:gridCol w:w="704"/>
        <w:gridCol w:w="1951"/>
        <w:gridCol w:w="3014"/>
        <w:gridCol w:w="1743"/>
        <w:gridCol w:w="1786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采购预算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414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YZ-J-202201010</w:t>
            </w:r>
          </w:p>
        </w:tc>
        <w:tc>
          <w:tcPr>
            <w:tcW w:w="522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咨询服务</w:t>
            </w:r>
          </w:p>
        </w:tc>
        <w:tc>
          <w:tcPr>
            <w:tcW w:w="24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包1：勋城-万洋110kV线路工程林业砍伐咨询服务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勋城-万洋110kV线路工程途经思礼镇、承留镇的经济林地，取得林业管理部门的砍伐批复文件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总价报价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48000元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合同签订且资料齐全后40个工作日内完成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22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4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包2：勋城-万洋110kV线路工程安全评估服务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对勋城-万洋110kV线路工程跨越济邵路S327项目进行安全评估，并出具评估报告，取得项目管理部门的批复</w:t>
            </w:r>
          </w:p>
        </w:tc>
        <w:tc>
          <w:tcPr>
            <w:tcW w:w="61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50000元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合同签订且资料齐全后40个工作日内完成安全评估工作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82E9B"/>
    <w:rsid w:val="16B46BA8"/>
    <w:rsid w:val="398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2022-03-19T03:05:00Z</dcterms:created>
  <dc:creator>一抹清香</dc:creator>
  <cp:lastModifiedBy>一抹清香</cp:lastModifiedBy>
  <dcterms:modified xsi:type="dcterms:W3CDTF">2022-03-19T03:06:00Z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3A42119F635A4931A227CA7CE1E4F009</vt:lpwstr>
  </property>
</Properties>
</file>