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479"/>
        <w:gridCol w:w="704"/>
        <w:gridCol w:w="3149"/>
        <w:gridCol w:w="1816"/>
        <w:gridCol w:w="1743"/>
        <w:gridCol w:w="178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YZ-J-202201011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综合服务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包1：济源市北辰电力勘测设计有限公司2022年文印广告服务框架采购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文印广告服务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折扣率报价</w:t>
            </w:r>
          </w:p>
        </w:tc>
        <w:tc>
          <w:tcPr>
            <w:tcW w:w="631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详见明细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合同签订之日起至2022年12月31日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包2：济源市北辰电力勘测设计有限公司2022年办公用品、耗材等服务框架采购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办公用品、耗材等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31" w:type="pct"/>
            <w:vMerge w:val="continue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5583"/>
    <w:rsid w:val="1E2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2022-02-16T06:06:00Z</dcterms:created>
  <dc:creator>一抹清香</dc:creator>
  <cp:lastModifiedBy>一抹清香</cp:lastModifiedBy>
  <dcterms:modified xsi:type="dcterms:W3CDTF">2022-02-16T06:07:23Z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C9B212B6CF6944DA9A601789202F1DB8</vt:lpwstr>
  </property>
</Properties>
</file>