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5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80"/>
        <w:gridCol w:w="457"/>
        <w:gridCol w:w="1726"/>
        <w:gridCol w:w="2405"/>
        <w:gridCol w:w="1773"/>
        <w:gridCol w:w="1503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合同履行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663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YZ-J-202201006</w:t>
            </w:r>
          </w:p>
        </w:tc>
        <w:tc>
          <w:tcPr>
            <w:tcW w:w="52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包1：变压器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SCB13-500KVA：9台；SCB13-630KVA：2台。</w:t>
            </w:r>
          </w:p>
        </w:tc>
        <w:tc>
          <w:tcPr>
            <w:tcW w:w="627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031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合同签订之日起45日内供货且安装调试完毕，并通过验收、投入正常使用。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包2：开关柜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高压开关柜：27台；低压开关柜：43台。</w:t>
            </w:r>
          </w:p>
        </w:tc>
        <w:tc>
          <w:tcPr>
            <w:tcW w:w="627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031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3623"/>
    <w:rsid w:val="143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3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2022-01-15T00:32:00Z</dcterms:created>
  <dc:creator>一抹清香</dc:creator>
  <cp:lastModifiedBy>一抹清香</cp:lastModifiedBy>
  <dcterms:modified xsi:type="dcterms:W3CDTF">2022-01-15T00:32:44Z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553F80A87259459DBFC150ACFD4EE270</vt:lpwstr>
  </property>
</Properties>
</file>